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right"/>
        <w:rPr>
          <w:rFonts w:hint="eastAsia" w:ascii="华文仿宋" w:hAnsi="华文仿宋" w:eastAsia="华文仿宋"/>
          <w:sz w:val="144"/>
          <w:szCs w:val="144"/>
        </w:rPr>
      </w:pPr>
      <w:bookmarkStart w:id="0" w:name="_Toc25125"/>
      <w:bookmarkStart w:id="10" w:name="_GoBack"/>
      <w:bookmarkEnd w:id="10"/>
      <w:r>
        <w:rPr>
          <w:rFonts w:hint="eastAsia" w:ascii="华文仿宋" w:hAnsi="华文仿宋" w:eastAsia="华文仿宋"/>
          <w:sz w:val="144"/>
          <w:szCs w:val="144"/>
        </w:rPr>
        <w:t>QJ</w:t>
      </w:r>
    </w:p>
    <w:p>
      <w:pPr>
        <w:spacing w:line="600" w:lineRule="atLeast"/>
        <w:ind w:right="48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贵州贵酒集团有限公司企业标准 </w:t>
      </w:r>
    </w:p>
    <w:p>
      <w:pPr>
        <w:spacing w:line="600" w:lineRule="atLeas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　　　　　　　  　　　　　　　　　　        QJ/GJ04·03-2019 </w:t>
      </w:r>
    </w:p>
    <w:p>
      <w:pPr>
        <w:spacing w:line="600" w:lineRule="atLeast"/>
        <w:ind w:firstLine="380" w:firstLineChars="200"/>
        <w:rPr>
          <w:rFonts w:ascii="宋体" w:hAnsi="宋体"/>
          <w:sz w:val="19"/>
          <w:szCs w:val="21"/>
        </w:rPr>
      </w:pPr>
    </w:p>
    <w:p>
      <w:pPr>
        <w:spacing w:line="600" w:lineRule="atLeast"/>
        <w:rPr>
          <w:rFonts w:hint="eastAsia" w:ascii="黑体" w:hAnsi="宋体" w:eastAsia="黑体"/>
          <w:b/>
          <w:sz w:val="56"/>
          <w:szCs w:val="56"/>
        </w:rPr>
      </w:pPr>
    </w:p>
    <w:p>
      <w:pPr>
        <w:spacing w:line="600" w:lineRule="atLeast"/>
        <w:rPr>
          <w:rFonts w:hint="eastAsia" w:ascii="黑体" w:hAnsi="宋体" w:eastAsia="黑体"/>
          <w:b/>
          <w:sz w:val="56"/>
          <w:szCs w:val="56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56"/>
          <w:szCs w:val="56"/>
        </w:rPr>
      </w:pPr>
      <w:r>
        <w:rPr>
          <w:rFonts w:hint="eastAsia" w:ascii="黑体" w:eastAsia="黑体"/>
          <w:b/>
          <w:sz w:val="56"/>
          <w:szCs w:val="56"/>
        </w:rPr>
        <w:t>稻壳</w:t>
      </w:r>
    </w:p>
    <w:p>
      <w:pPr>
        <w:spacing w:line="600" w:lineRule="atLeast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ind w:firstLine="380" w:firstLineChars="200"/>
        <w:jc w:val="center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19"/>
          <w:szCs w:val="21"/>
        </w:rPr>
        <w:t xml:space="preserve">                        </w:t>
      </w:r>
    </w:p>
    <w:p>
      <w:pPr>
        <w:spacing w:line="600" w:lineRule="atLeast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ind w:firstLine="380" w:firstLineChars="200"/>
        <w:rPr>
          <w:rFonts w:hint="eastAsia" w:ascii="宋体" w:hAnsi="宋体"/>
          <w:sz w:val="19"/>
          <w:szCs w:val="21"/>
        </w:rPr>
      </w:pPr>
    </w:p>
    <w:p>
      <w:pPr>
        <w:spacing w:line="600" w:lineRule="atLeast"/>
        <w:jc w:val="center"/>
        <w:rPr>
          <w:rFonts w:hint="eastAsia" w:ascii="宋体" w:hAnsi="宋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376555</wp:posOffset>
                </wp:positionV>
                <wp:extent cx="5838825" cy="635"/>
                <wp:effectExtent l="0" t="0" r="0" b="0"/>
                <wp:wrapNone/>
                <wp:docPr id="1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388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y;margin-left:-29.9pt;margin-top:29.65pt;height:0.05pt;width:459.75pt;z-index:251659264;mso-width-relative:page;mso-height-relative:page;" filled="f" stroked="t" coordsize="21600,21600" o:gfxdata="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g432T2AAAAAkBAAAPAAAAAAAAAAEAIAAAACIAAABkcnMvZG93bnJldi54bWxQSwECFAAUAAAA&#10;CACHTuJAIjp5Mu4BAADo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 xml:space="preserve">   2019-09-17发布   　　　　　　　　2019-09-18实施</w:t>
      </w:r>
    </w:p>
    <w:p>
      <w:pPr>
        <w:spacing w:line="440" w:lineRule="exact"/>
        <w:jc w:val="center"/>
        <w:rPr>
          <w:rFonts w:ascii="宋体" w:hAnsi="宋体"/>
          <w:sz w:val="32"/>
          <w:szCs w:val="32"/>
        </w:rPr>
        <w:sectPr>
          <w:pgSz w:w="11906" w:h="16838"/>
          <w:pgMar w:top="1440" w:right="1797" w:bottom="1440" w:left="1797" w:header="1134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32"/>
          <w:szCs w:val="32"/>
        </w:rPr>
        <w:t>贵州贵酒集团有限公司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稻 壳</w:t>
      </w: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1.范围</w:t>
      </w:r>
      <w:bookmarkEnd w:id="0"/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本标准规定了稻壳的有关定义、质量标准、检验方法及验收规则。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本标准适用于企业对购进稻壳的验收。</w:t>
      </w: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bookmarkStart w:id="1" w:name="_Toc17349"/>
      <w:r>
        <w:rPr>
          <w:rFonts w:hint="eastAsia" w:ascii="宋体" w:hAnsi="宋体" w:cs="宋体"/>
          <w:bCs/>
          <w:sz w:val="21"/>
        </w:rPr>
        <w:t>2.定义</w:t>
      </w:r>
      <w:bookmarkEnd w:id="1"/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2.1色泽。气味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金黄色，无霉变，无变质，具有明显的稻壳颗粒香味，无农药、无霉味等杂味。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2.2破碎度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稻壳被破碎的程度。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2.3夹杂物包括（筛下物、无机杂质、有机杂质）。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2.3.1</w:t>
      </w:r>
      <w:bookmarkStart w:id="2" w:name="OLE_LINK1"/>
      <w:r>
        <w:rPr>
          <w:rFonts w:hint="eastAsia" w:ascii="宋体" w:hAnsi="宋体" w:cs="宋体"/>
        </w:rPr>
        <w:t>筛下物</w:t>
      </w:r>
      <w:bookmarkEnd w:id="2"/>
      <w:r>
        <w:rPr>
          <w:rFonts w:hint="eastAsia" w:ascii="宋体" w:hAnsi="宋体" w:cs="宋体"/>
        </w:rPr>
        <w:t>：通过直径1.5mm圆孔筛的物质。 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2.3.2无机杂质：泥土、</w:t>
      </w:r>
      <w:bookmarkStart w:id="3" w:name="OLE_LINK2"/>
      <w:r>
        <w:rPr>
          <w:rFonts w:hint="eastAsia" w:ascii="宋体" w:hAnsi="宋体" w:cs="宋体"/>
        </w:rPr>
        <w:t>砖坯</w:t>
      </w:r>
      <w:bookmarkEnd w:id="3"/>
      <w:r>
        <w:rPr>
          <w:rFonts w:hint="eastAsia" w:ascii="宋体" w:hAnsi="宋体" w:cs="宋体"/>
        </w:rPr>
        <w:t>等其他杂质。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2.3.3有机杂质：稻杆、稻草、碎米等有机杂质。</w:t>
      </w:r>
      <w:bookmarkStart w:id="4" w:name="_Toc3802"/>
      <w:r>
        <w:rPr>
          <w:rFonts w:hint="eastAsia" w:ascii="宋体" w:hAnsi="宋体" w:cs="宋体"/>
        </w:rPr>
        <w:t xml:space="preserve">                                                           </w:t>
      </w: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3.质量</w:t>
      </w:r>
      <w:bookmarkEnd w:id="4"/>
      <w:r>
        <w:rPr>
          <w:rFonts w:hint="eastAsia" w:ascii="宋体" w:hAnsi="宋体" w:cs="宋体"/>
          <w:bCs/>
          <w:sz w:val="21"/>
        </w:rPr>
        <w:t>指标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3.1稻壳感观、理化指标见表1。</w:t>
      </w:r>
    </w:p>
    <w:p>
      <w:pPr>
        <w:tabs>
          <w:tab w:val="left" w:pos="1806"/>
        </w:tabs>
        <w:spacing w:line="360" w:lineRule="auto"/>
        <w:ind w:left="420" w:leftChars="200"/>
        <w:jc w:val="center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表1  感官、理化要求</w:t>
      </w:r>
    </w:p>
    <w:tbl>
      <w:tblPr>
        <w:tblStyle w:val="4"/>
        <w:tblW w:w="0" w:type="auto"/>
        <w:tblInd w:w="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01"/>
        <w:gridCol w:w="180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bookmarkStart w:id="5" w:name="OLE_LINK6" w:colFirst="2" w:colLast="2"/>
            <w:r>
              <w:rPr>
                <w:rFonts w:hint="eastAsia" w:ascii="宋体" w:hAnsi="宋体" w:cs="宋体"/>
                <w:kern w:val="0"/>
                <w:sz w:val="21"/>
              </w:rPr>
              <w:t>破碎度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夹杂物/%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水分/%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色泽、气味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2-3瓣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≤4.0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≤12.0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按本标准2.1执行</w:t>
            </w:r>
          </w:p>
        </w:tc>
      </w:tr>
      <w:bookmarkEnd w:id="5"/>
    </w:tbl>
    <w:p>
      <w:pPr>
        <w:rPr>
          <w:rFonts w:hint="eastAsia" w:ascii="宋体" w:hAnsi="宋体" w:cs="宋体"/>
        </w:rPr>
      </w:pPr>
      <w:bookmarkStart w:id="6" w:name="_Toc24365"/>
      <w:r>
        <w:rPr>
          <w:rFonts w:hint="eastAsia" w:ascii="宋体" w:hAnsi="宋体" w:cs="宋体"/>
        </w:rPr>
        <w:t xml:space="preserve">  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3.2卫生指标执行GB 2715粮食卫生标准、GB 2761食品中真菌毒素限量、GB 2762食品中污染物限量、GB 2763食品中农药残留限量。</w:t>
      </w:r>
      <w:r>
        <w:rPr>
          <w:rFonts w:hint="eastAsia" w:ascii="宋体" w:hAnsi="宋体" w:cs="宋体"/>
          <w:bCs/>
        </w:rPr>
        <w:t xml:space="preserve">  </w:t>
      </w:r>
      <w:bookmarkEnd w:id="6"/>
      <w:bookmarkStart w:id="7" w:name="OLE_LINK4"/>
    </w:p>
    <w:bookmarkEnd w:id="7"/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4.检验规则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扦样、分样程序及方法</w:t>
      </w: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4.1扦样、分样由质量部品管负责，要求对每批次进行抽检。扦样时采供部和使用部门必须派人参加，且共同对扦样进行确认。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4.1.1扦样方法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4.1.1.1扦样抽取随机抽样，开包检验，开包数量是总量的5%。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4.1.1.2单位代表数量。扦样时以同一个供应商同一品种、同等级、同一车次或同一批次为一个检验单位，一个检验单位代表数量一般不超过25吨。超过25吨时，按二个检验单位扦样本量。</w:t>
      </w: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4.2分样方法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4.2.1抽取的样品分大样、小样、试样。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4.2.2将原始样品（大样）充分混合均匀，用四分法从中抽取小样，</w:t>
      </w:r>
      <w:bookmarkStart w:id="8" w:name="OLE_LINK3"/>
      <w:r>
        <w:rPr>
          <w:rFonts w:hint="eastAsia" w:ascii="宋体" w:hAnsi="宋体" w:cs="宋体"/>
        </w:rPr>
        <w:t>再分成试样。</w:t>
      </w:r>
      <w:bookmarkEnd w:id="8"/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4.2.3每次取样须从大样中抽取二分小样，一份作检验用，一份作为封存样品用存放时间为6个月。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4.2.4四分法：将样品倒在光滑平坦的地面、桌面或玻璃板上，用两块分样板将样品摊成正方形，然后从样品两边铲起样品约10cm高，对准中心同时倒落，再换一个方向同样操作（中心点不动），如此反复混合4、5次，将样品摊成等厚的正方形，用分样板在样品上划两条对角线，分成四个三角形，取出其中两个对顶三角形的样品，剩下的样品再按上述方法反复分取，直至最后剩下的对顶三角形的样品接近所需试样重量为止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4.2.5抽取的样品量应符合表3规定：</w:t>
      </w:r>
    </w:p>
    <w:p>
      <w:pPr>
        <w:spacing w:line="360" w:lineRule="auto"/>
        <w:rPr>
          <w:rFonts w:hint="eastAsia" w:ascii="宋体" w:hAnsi="宋体" w:cs="宋体"/>
          <w:b/>
          <w:sz w:val="18"/>
          <w:szCs w:val="18"/>
        </w:rPr>
      </w:pPr>
      <w:r>
        <w:rPr>
          <w:rFonts w:hint="eastAsia" w:ascii="宋体" w:hAnsi="宋体" w:cs="宋体"/>
        </w:rPr>
        <w:t xml:space="preserve">                                  </w:t>
      </w:r>
      <w:r>
        <w:rPr>
          <w:rFonts w:hint="eastAsia" w:ascii="宋体" w:hAnsi="宋体" w:cs="宋体"/>
          <w:bCs/>
        </w:rPr>
        <w:t xml:space="preserve">  </w:t>
      </w:r>
      <w:r>
        <w:rPr>
          <w:rFonts w:hint="eastAsia" w:ascii="宋体" w:hAnsi="宋体" w:cs="宋体"/>
          <w:b/>
          <w:sz w:val="18"/>
          <w:szCs w:val="18"/>
        </w:rPr>
        <w:t>表3  批次与样品量对照表</w:t>
      </w:r>
    </w:p>
    <w:tbl>
      <w:tblPr>
        <w:tblStyle w:val="4"/>
        <w:tblW w:w="0" w:type="auto"/>
        <w:tblInd w:w="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3083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批次（吨）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大样量（kg）</w:t>
            </w:r>
          </w:p>
        </w:tc>
        <w:tc>
          <w:tcPr>
            <w:tcW w:w="310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小样（kg）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≦15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2</w:t>
            </w:r>
          </w:p>
        </w:tc>
        <w:tc>
          <w:tcPr>
            <w:tcW w:w="310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15-30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2*2</w:t>
            </w:r>
          </w:p>
        </w:tc>
        <w:tc>
          <w:tcPr>
            <w:tcW w:w="310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30-50</w:t>
            </w:r>
          </w:p>
        </w:tc>
        <w:tc>
          <w:tcPr>
            <w:tcW w:w="308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2*3</w:t>
            </w:r>
          </w:p>
        </w:tc>
        <w:tc>
          <w:tcPr>
            <w:tcW w:w="310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1"/>
              </w:rPr>
            </w:pPr>
            <w:r>
              <w:rPr>
                <w:rFonts w:hint="eastAsia" w:ascii="宋体" w:hAnsi="宋体" w:cs="宋体"/>
                <w:kern w:val="0"/>
                <w:sz w:val="21"/>
              </w:rPr>
              <w:t>3.0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cs="宋体"/>
        </w:rPr>
      </w:pP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4.2.6如检验人员对抽检结果有异议或对该产品有怀疑，可以进行开包抽样，也可以放大一倍，抽取样品量。</w:t>
      </w:r>
    </w:p>
    <w:p>
      <w:pPr>
        <w:spacing w:line="360" w:lineRule="auto"/>
        <w:rPr>
          <w:rFonts w:hint="eastAsia" w:ascii="宋体" w:hAnsi="宋体" w:cs="宋体"/>
        </w:rPr>
      </w:pP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4.3色泽、气味鉴定方法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4.3.1色泽鉴定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鉴定时，把试样置于散射光线下，肉眼鉴别全部样品的颜色和色泽是否正常。</w:t>
      </w:r>
      <w:bookmarkStart w:id="9" w:name="OLE_LINK5"/>
    </w:p>
    <w:bookmarkEnd w:id="9"/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4.3.2气味鉴定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4.3.2.1取少量试样，嘴对试样哈气，立即嗅辨气味是否正常。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4.3.2.1将试样放入密闭容器中，在60-70℃的温水杯中保温数分钟，取出，开盖嗅辨气味是否正常。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4.3.3结果表示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鉴定结果以“符合”或“不符合”表示之。对不正常的应加以说明。</w:t>
      </w:r>
    </w:p>
    <w:p>
      <w:pPr>
        <w:spacing w:line="360" w:lineRule="auto"/>
        <w:rPr>
          <w:rFonts w:hint="eastAsia" w:ascii="宋体" w:hAnsi="宋体" w:cs="宋体"/>
        </w:rPr>
      </w:pP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4.4夹杂物的检验方法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4.4.1仪器和工具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4.4.1.1分析盘、镊子等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4.4.1.2电子天平（精度0.0001）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4.4.1.3电动筛选器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4.4.1.4分样板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4.4.2夹杂物的试样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检验夹杂物的试样分为大样和小样二部分：大样是用于检验大型杂质和绝对筛层的筛下物，小样是从检验过的大样杂质的样品中分出少量试样。检验与样品大小相似的并肩杂质。试样大样100g，小样50g。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4.4.3筛选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4.4.3.1电动筛选器法：按重量标准中规定的筛层套好（打孔筛直径4.0mm在上，小孔筛直径1.5mm在下，套上筛底），按规定称取试样放入筛上，盖上筛盖，放在电动筛选器上，接通电源，打开开关，选筛自动地向左向右各筛1分钟（每分钟110-120转）。筛后静止片刻，将筛下物和筛上物分别倒入分析盘内。卡在筛孔中间的壳瓣属于筛上物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4.4.3.2操作方法：从平均样品中，分取试样约100g（W），按4.4.3.1规定的筛选法进行2次筛选，在4.5mm圆孔筛上拣出大型杂质，倒出试样，轻拍筛子使通过1.5mm圆孔的物质落入筛底。将拣出的大型杂质和落入筛底的所有杂质，合并称重（W</w:t>
      </w:r>
      <w:r>
        <w:rPr>
          <w:rFonts w:hint="eastAsia" w:ascii="宋体" w:hAnsi="宋体" w:cs="宋体"/>
          <w:vertAlign w:val="subscript"/>
        </w:rPr>
        <w:t>1</w:t>
      </w:r>
      <w:r>
        <w:rPr>
          <w:rFonts w:hint="eastAsia" w:ascii="宋体" w:hAnsi="宋体" w:cs="宋体"/>
        </w:rPr>
        <w:t>）。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4.4.3.3结果计算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夹杂物大样含量按公式（1）计算：</w:t>
      </w:r>
    </w:p>
    <w:p>
      <w:pPr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夹杂物大样含量（%）=W</w:t>
      </w:r>
      <w:r>
        <w:rPr>
          <w:rFonts w:hint="eastAsia" w:ascii="宋体" w:hAnsi="宋体" w:cs="宋体"/>
          <w:vertAlign w:val="subscript"/>
        </w:rPr>
        <w:t>1</w:t>
      </w:r>
      <w:r>
        <w:rPr>
          <w:rFonts w:hint="eastAsia" w:ascii="宋体" w:hAnsi="宋体" w:cs="宋体"/>
        </w:rPr>
        <w:t>/W×100            （1）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式中：W—— 试样质量，单位为克（g）；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W</w:t>
      </w:r>
      <w:r>
        <w:rPr>
          <w:rFonts w:hint="eastAsia" w:ascii="宋体" w:hAnsi="宋体" w:cs="宋体"/>
          <w:vertAlign w:val="subscript"/>
        </w:rPr>
        <w:t>1</w:t>
      </w:r>
      <w:r>
        <w:rPr>
          <w:rFonts w:hint="eastAsia" w:ascii="宋体" w:hAnsi="宋体" w:cs="宋体"/>
        </w:rPr>
        <w:t>——夹杂物重量，单位为克（g）。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双试验结果允许误差不超过0.3%，求其平均数，即为检验结果。检验结果保留</w:t>
      </w:r>
      <w:r>
        <w:rPr>
          <w:rFonts w:hint="eastAsia" w:ascii="宋体" w:hAnsi="宋体" w:cs="宋体"/>
          <w:lang w:val="zh-CN"/>
        </w:rPr>
        <w:t>至小数点后两位。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4.4.4夹杂物小样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4.4.4.1操作方法：从大检验过大样杂质的试样中，按4.4.2中的规定用量，称取试样（W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</w:rPr>
        <w:t>），倒入方向盘中，按质量标准的规定拣出杂质，称重（W</w:t>
      </w:r>
      <w:r>
        <w:rPr>
          <w:rFonts w:hint="eastAsia" w:ascii="宋体" w:hAnsi="宋体" w:cs="宋体"/>
          <w:vertAlign w:val="subscript"/>
        </w:rPr>
        <w:t>3</w:t>
      </w:r>
      <w:r>
        <w:rPr>
          <w:rFonts w:hint="eastAsia" w:ascii="宋体" w:hAnsi="宋体" w:cs="宋体"/>
        </w:rPr>
        <w:t>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4.4.4.2计算结果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小样杂质含量按公式（2）计算：</w:t>
      </w:r>
    </w:p>
    <w:p>
      <w:pPr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小样杂质（%）=（100－M）×W</w:t>
      </w:r>
      <w:r>
        <w:rPr>
          <w:rFonts w:hint="eastAsia" w:ascii="宋体" w:hAnsi="宋体" w:cs="宋体"/>
          <w:vertAlign w:val="subscript"/>
        </w:rPr>
        <w:t>3</w:t>
      </w:r>
      <w:r>
        <w:rPr>
          <w:rFonts w:hint="eastAsia" w:ascii="宋体" w:hAnsi="宋体" w:cs="宋体"/>
        </w:rPr>
        <w:t>/W</w:t>
      </w:r>
      <w:r>
        <w:rPr>
          <w:rFonts w:hint="eastAsia" w:ascii="宋体" w:hAnsi="宋体" w:cs="宋体"/>
          <w:vertAlign w:val="subscript"/>
        </w:rPr>
        <w:t xml:space="preserve">2  </w:t>
      </w:r>
      <w:r>
        <w:rPr>
          <w:rFonts w:hint="eastAsia" w:ascii="宋体" w:hAnsi="宋体" w:cs="宋体"/>
        </w:rPr>
        <w:t xml:space="preserve">           （2）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式中：W</w:t>
      </w:r>
      <w:r>
        <w:rPr>
          <w:rFonts w:hint="eastAsia" w:ascii="宋体" w:hAnsi="宋体" w:cs="宋体"/>
          <w:vertAlign w:val="subscript"/>
        </w:rPr>
        <w:t>1</w:t>
      </w:r>
      <w:r>
        <w:rPr>
          <w:rFonts w:hint="eastAsia" w:ascii="宋体" w:hAnsi="宋体" w:cs="宋体"/>
        </w:rPr>
        <w:t>——小样杂质重量，单位为克（g）；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W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</w:rPr>
        <w:t>—— 小样重量，单位为克（g）；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M—— 大样杂质百分率，单位为百分比（%）。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双试验结果允许误差不超过0.3%，求其平均数，即为检验结果。检验结果保留</w:t>
      </w:r>
      <w:r>
        <w:rPr>
          <w:rFonts w:hint="eastAsia" w:ascii="宋体" w:hAnsi="宋体" w:cs="宋体"/>
          <w:lang w:val="zh-CN"/>
        </w:rPr>
        <w:t>至小数点后两位。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4.4.5杂质总量计算：</w:t>
      </w:r>
    </w:p>
    <w:p>
      <w:pPr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杂质总量（%）=M+N                          （3）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式中：M——大样杂质百分比，单位为百分比（%）；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N——大样杂质百分比，单位为百分比（%）。</w:t>
      </w:r>
    </w:p>
    <w:p>
      <w:pPr>
        <w:spacing w:line="360" w:lineRule="auto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</w:rPr>
        <w:t xml:space="preserve">  计算保留</w:t>
      </w:r>
      <w:r>
        <w:rPr>
          <w:rFonts w:hint="eastAsia" w:ascii="宋体" w:hAnsi="宋体" w:cs="宋体"/>
          <w:lang w:val="zh-CN"/>
        </w:rPr>
        <w:t>至小数点后两位。</w:t>
      </w:r>
    </w:p>
    <w:p>
      <w:pPr>
        <w:spacing w:line="360" w:lineRule="auto"/>
        <w:rPr>
          <w:rFonts w:hint="eastAsia" w:ascii="宋体" w:hAnsi="宋体" w:cs="宋体"/>
          <w:lang w:val="zh-CN"/>
        </w:rPr>
      </w:pPr>
    </w:p>
    <w:p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4.5水分检测（105℃恒重法）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4.5.1仪器和工具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4.5.1.1电热恒温箱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4.5.1.2电子天平：感量0.0001g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4.5.1.3粉碎机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4.5.1.4电动筛选器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4.5.1.5具有变色硅胶的干燥器（变色硅胶一经呈红色就不能继续使用，应放在130-140℃ 温度下烘至全部呈蓝色后再用）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4.5.1.6铝盒：内径4.5cm，高2.0cm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4.5.2试样制备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从样品中分取一定样品，30—50g，除去大样杂质和矿物质。粉碎细度通过1.5mm圆孔筛的不少于90%。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4.5.3操作方法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4.5.3.1定温：使烘箱中温度计的水银球距离烘网2.5cm左右，调节烘箱温度定在105±2℃。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4.5.3.2烘干铝盒：取干净的空铝盒，放在烘箱内温度计水银球下方烘网上，烘30分钟至1小时取出，置于干燥器内冷却至室温，取出称重，再烘30分钟，烘至前后二次量差不超过0.005g，即为恒重。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4.5.3.3称取试样：用烘至恒重的</w:t>
      </w:r>
      <w:r>
        <w:rPr>
          <w:rFonts w:hint="eastAsia" w:ascii="宋体" w:hAnsi="宋体" w:cs="宋体"/>
          <w:lang w:val="zh-CN"/>
        </w:rPr>
        <w:t>铝盒（</w:t>
      </w:r>
      <w:r>
        <w:rPr>
          <w:rFonts w:hint="eastAsia" w:ascii="宋体" w:hAnsi="宋体" w:cs="宋体"/>
        </w:rPr>
        <w:t>W</w:t>
      </w:r>
      <w:r>
        <w:rPr>
          <w:rFonts w:hint="eastAsia" w:ascii="宋体" w:hAnsi="宋体" w:cs="宋体"/>
          <w:vertAlign w:val="subscript"/>
        </w:rPr>
        <w:t>0</w:t>
      </w:r>
      <w:r>
        <w:rPr>
          <w:rFonts w:hint="eastAsia" w:ascii="宋体" w:hAnsi="宋体" w:cs="宋体"/>
          <w:lang w:val="zh-CN"/>
        </w:rPr>
        <w:t>）准确称取粉碎试样</w:t>
      </w:r>
      <w:r>
        <w:rPr>
          <w:rFonts w:hint="eastAsia" w:ascii="宋体" w:hAnsi="宋体" w:cs="宋体"/>
        </w:rPr>
        <w:t>3g</w:t>
      </w:r>
      <w:r>
        <w:rPr>
          <w:rFonts w:hint="eastAsia" w:ascii="宋体" w:hAnsi="宋体" w:cs="宋体"/>
          <w:lang w:val="zh-CN"/>
        </w:rPr>
        <w:t>（</w:t>
      </w:r>
      <w:r>
        <w:rPr>
          <w:rFonts w:hint="eastAsia" w:ascii="宋体" w:hAnsi="宋体" w:cs="宋体"/>
        </w:rPr>
        <w:t>W</w:t>
      </w:r>
      <w:r>
        <w:rPr>
          <w:rFonts w:hint="eastAsia" w:ascii="宋体" w:hAnsi="宋体" w:cs="宋体"/>
          <w:vertAlign w:val="subscript"/>
        </w:rPr>
        <w:t>1</w:t>
      </w:r>
      <w:r>
        <w:rPr>
          <w:rFonts w:hint="eastAsia" w:ascii="宋体" w:hAnsi="宋体" w:cs="宋体"/>
        </w:rPr>
        <w:t>，</w:t>
      </w:r>
      <w:r>
        <w:rPr>
          <w:rFonts w:hint="eastAsia" w:ascii="宋体" w:hAnsi="宋体" w:cs="宋体"/>
          <w:lang w:val="zh-CN"/>
        </w:rPr>
        <w:t>精确</w:t>
      </w:r>
      <w:r>
        <w:rPr>
          <w:rFonts w:hint="eastAsia" w:ascii="宋体" w:hAnsi="宋体" w:cs="宋体"/>
        </w:rPr>
        <w:t>0.001g</w:t>
      </w:r>
      <w:r>
        <w:rPr>
          <w:rFonts w:hint="eastAsia" w:ascii="宋体" w:hAnsi="宋体" w:cs="宋体"/>
          <w:lang w:val="zh-CN"/>
        </w:rPr>
        <w:t>）</w:t>
      </w:r>
      <w:r>
        <w:rPr>
          <w:rFonts w:hint="eastAsia" w:ascii="宋体" w:hAnsi="宋体" w:cs="宋体"/>
        </w:rPr>
        <w:t>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4.5.3.4烘干试样：将铝盒盖套在盒底上，放入烘箱内温度计的烘网上，在105℃温度下烘3小时后取出铝盒，取出后置于干燥器中，冷却至室温，称量。在相同条件下，重复上述操作，每隔30min取出冷却称重一次，直至前后两次称量差不超过0.005g为止。如果后一次重量超过前一次重量，以前一次计算（W</w:t>
      </w:r>
      <w:r>
        <w:rPr>
          <w:rFonts w:hint="eastAsia" w:ascii="宋体" w:hAnsi="宋体" w:cs="宋体"/>
          <w:vertAlign w:val="subscript"/>
        </w:rPr>
        <w:t>2</w:t>
      </w:r>
      <w:r>
        <w:rPr>
          <w:rFonts w:hint="eastAsia" w:ascii="宋体" w:hAnsi="宋体" w:cs="宋体"/>
        </w:rPr>
        <w:t>）。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4.5.4结果计算：</w:t>
      </w:r>
    </w:p>
    <w:p>
      <w:pPr>
        <w:spacing w:line="36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object>
          <v:shape id="_x0000_i1025" o:spt="75" type="#_x0000_t75" style="height:34pt;width:17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式中：W</w:t>
      </w:r>
      <w:r>
        <w:rPr>
          <w:rFonts w:hint="eastAsia" w:ascii="宋体" w:hAnsi="宋体" w:cs="宋体"/>
          <w:vertAlign w:val="subscript"/>
          <w:lang w:val="zh-CN"/>
        </w:rPr>
        <w:t>1</w:t>
      </w:r>
      <w:r>
        <w:rPr>
          <w:rFonts w:hint="eastAsia" w:ascii="宋体" w:hAnsi="宋体" w:cs="宋体"/>
          <w:lang w:val="zh-CN"/>
        </w:rPr>
        <w:t>——样品重量（g）</w:t>
      </w:r>
    </w:p>
    <w:p>
      <w:pPr>
        <w:spacing w:line="360" w:lineRule="auto"/>
        <w:ind w:firstLine="1050" w:firstLineChars="500"/>
        <w:jc w:val="left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W</w:t>
      </w:r>
      <w:r>
        <w:rPr>
          <w:rFonts w:hint="eastAsia" w:ascii="宋体" w:hAnsi="宋体" w:cs="宋体"/>
          <w:vertAlign w:val="subscript"/>
          <w:lang w:val="zh-CN"/>
        </w:rPr>
        <w:t>2</w:t>
      </w:r>
      <w:r>
        <w:rPr>
          <w:rFonts w:hint="eastAsia" w:ascii="宋体" w:hAnsi="宋体" w:cs="宋体"/>
          <w:lang w:val="zh-CN"/>
        </w:rPr>
        <w:t>——烘干后，铝盒与样品重量（g）</w:t>
      </w:r>
    </w:p>
    <w:p>
      <w:pPr>
        <w:spacing w:line="360" w:lineRule="auto"/>
        <w:ind w:firstLine="1050" w:firstLineChars="500"/>
        <w:jc w:val="left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W</w:t>
      </w:r>
      <w:r>
        <w:rPr>
          <w:rFonts w:hint="eastAsia" w:ascii="宋体" w:hAnsi="宋体" w:cs="宋体"/>
          <w:vertAlign w:val="subscript"/>
          <w:lang w:val="zh-CN"/>
        </w:rPr>
        <w:t>0</w:t>
      </w:r>
      <w:r>
        <w:rPr>
          <w:rFonts w:hint="eastAsia" w:ascii="宋体" w:hAnsi="宋体" w:cs="宋体"/>
          <w:lang w:val="zh-CN"/>
        </w:rPr>
        <w:t>——恒重铝盒的重量（g）</w:t>
      </w:r>
    </w:p>
    <w:p>
      <w:pPr>
        <w:spacing w:line="360" w:lineRule="auto"/>
        <w:jc w:val="center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双实验结果允许误差不超过0.2%，求其平均数，即为实验结果。计算结果保留至小数点后两位。</w:t>
      </w:r>
    </w:p>
    <w:p>
      <w:pPr>
        <w:spacing w:line="360" w:lineRule="auto"/>
        <w:rPr>
          <w:rFonts w:hint="eastAsia" w:ascii="宋体" w:hAnsi="宋体" w:cs="宋体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4.6农药残留检测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4.6.1农药残留定量测量按</w:t>
      </w:r>
      <w:r>
        <w:rPr>
          <w:rFonts w:hint="eastAsia" w:ascii="宋体" w:hAnsi="宋体" w:cs="宋体"/>
        </w:rPr>
        <w:t>GB/T 5009执行。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>4.6.2</w:t>
      </w:r>
      <w:r>
        <w:rPr>
          <w:rFonts w:hint="eastAsia" w:ascii="宋体" w:hAnsi="宋体" w:cs="宋体"/>
          <w:szCs w:val="21"/>
        </w:rPr>
        <w:t>农药残留快速测定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试剂选用与农残快速测定仪相配套的试剂盒。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4.6.2.1试剂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</w:rPr>
        <w:t>缓冲液：一包缓冲液加入500mL的蒸馏水溶解，倒进大口塑料瓶，室温保存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显色剂：无需配制，放冰箱2~4℃冷藏，切勿冷冻结冰。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底物：往标有底物的瓶中加入13mL蒸馏水。2~4℃环境下冷藏保存。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</w:rPr>
        <w:t xml:space="preserve">  酶试剂：</w:t>
      </w:r>
      <w:r>
        <w:rPr>
          <w:rFonts w:hint="eastAsia" w:ascii="ˎ̥" w:hAnsi="ˎ̥"/>
        </w:rPr>
        <w:t>开启后直接使用，放冰箱2~4℃环境下冷藏保存。切勿冷冻结冰。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4.6.2.2仪器和工具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NC-800农药残留快速测定仪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电子天平：0.001g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移液器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三角瓶、漏斗、滤纸和保鲜膜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秒表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比色皿：1cm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4.6.2.3样品提取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从平均样称取试样2g，放入三角瓶中，加入10mL缓冲液，振荡2分钟后再用漏斗加滤纸过滤，滤出清液即为提取液。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4.6.2.4测试方法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a 对照测试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在1cm比色皿中，依次用相应的移液器加入酶100μL，缓冲液2.5mL，显色剂100μL和底物20μL，摇匀后立即放进仪器池中，按“对照测量”建进行测试。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b 样品测试</w:t>
      </w:r>
    </w:p>
    <w:p>
      <w:pPr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</w:rPr>
        <w:t>在1cm比色皿中，用移液器加入酶100μL，再加入提取液2.5mL，摇匀，在依次加入显色剂100μL，静止15分钟后，加底物100μL，摇匀后立即放进仪器池中，按“样品测量”建进行测试，在设定的测试时间后，仪器显示检测结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4.6.2.5结果判定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抑制率小于40%，则判定样品合格；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抑制率在40%-50%之间的为可疑农残超标样品，则需重复检验以便确认；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抑制率大于50%，则判定样品不合格。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5.卫生指标检验方法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5.1卫生指标按每批每份合同为一检验批，又供应商提供改批次产品的第三方检验报告，且每批次需供应商提供自检报告。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5.2采供部、质量部可随机抽样进行委托送检，若报告存在差异，以采购企业委托送检为准。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6.判定依据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6.1首次抽样检验如质量指标不合格，应对所取样品进行复检。复检结果不合格的拒收。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6.2感观和卫生指标不合格的，必须拒收，不进行复检。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6.3检验结果若一项不合格，应重新从同批产品中抽取两倍量样品复检。若复检结果仍不合格，则判定该批产品不合格。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7.运输及储存要求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7.1运输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7.1.1用于包装、盛放稻壳的包装袋。容器必须无毒、干燥、清洁。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7.1.2运输工具应干燥、清洁。不得将有毒、有害、有污染的物品与原料混装混运，防止交叉污染。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7.2储存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7.2.1收购的稻壳应储藏在阴凉、通风、干燥、清洁，并有防虫、防鼠、防设施的仓库内，同一库房内的不同原料应分别存放，避免混杂。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7.2.2对夏季要防止霉变。对局部发热、霉变的稻壳，必须及时分离，筛选处理。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0"/>
        </w:numPr>
        <w:tabs>
          <w:tab w:val="left" w:pos="1680"/>
        </w:tabs>
        <w:spacing w:line="360" w:lineRule="auto"/>
        <w:rPr>
          <w:rFonts w:hint="eastAsia" w:ascii="宋体" w:hAnsi="宋体" w:cs="宋体"/>
          <w:bCs/>
          <w:sz w:val="21"/>
        </w:rPr>
      </w:pPr>
      <w:r>
        <w:rPr>
          <w:rFonts w:hint="eastAsia" w:ascii="宋体" w:hAnsi="宋体" w:cs="宋体"/>
          <w:bCs/>
          <w:sz w:val="21"/>
        </w:rPr>
        <w:t>8.争议仲裁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8.1如货主对抽样结果有异议，可向采供部提出仲裁，由采供部、质量部、使用部门和货主共同取样，并在抽样单上签字确认。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8.2如货主对检验结果有异议，可向采供部提出仲裁，由质量部主持将备存小样取出，原则上由质量部再次化验，确认其结果，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8.3如货主希望第三方进行检验时，由采供部、质量部、使用部门和货主一起进行，并以第三方的检测结果为仲裁结果。（注：第三方必须是供需双方共同认可的权威机构）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8.4第三方检测费用由提出仲裁的一方支付。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附加说明：  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本标准由贵州贵酒有限责任公司质量部提出。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本标准由贵州贵酒有限责任公司质量部起草。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本标准主要起草人：朱建猛、罗国伟</w:t>
      </w:r>
    </w:p>
    <w:p>
      <w:pPr>
        <w:spacing w:line="360" w:lineRule="auto"/>
        <w:rPr>
          <w:rFonts w:hint="eastAsia" w:ascii="宋体" w:hAnsi="宋体" w:cs="宋体"/>
        </w:rPr>
      </w:pPr>
    </w:p>
    <w:p>
      <w:pPr>
        <w:spacing w:line="360" w:lineRule="auto"/>
        <w:rPr>
          <w:rFonts w:hint="eastAsia" w:ascii="宋体" w:hAnsi="宋体" w:cs="宋体"/>
        </w:rPr>
      </w:pPr>
    </w:p>
    <w:p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E1364"/>
    <w:multiLevelType w:val="multilevel"/>
    <w:tmpl w:val="570E1364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pStyle w:val="2"/>
      <w:lvlText w:val="%4."/>
      <w:lvlJc w:val="left"/>
      <w:pPr>
        <w:tabs>
          <w:tab w:val="left" w:pos="1680"/>
        </w:tabs>
        <w:ind w:left="0" w:firstLine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2E"/>
    <w:rsid w:val="00AD472E"/>
    <w:rsid w:val="00B07AFE"/>
    <w:rsid w:val="06D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864"/>
        <w:tab w:val="clear" w:pos="1680"/>
      </w:tabs>
      <w:jc w:val="left"/>
      <w:outlineLvl w:val="3"/>
    </w:pPr>
    <w:rPr>
      <w:rFonts w:ascii="Arial" w:hAnsi="Arial"/>
      <w:b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basedOn w:val="5"/>
    <w:link w:val="2"/>
    <w:qFormat/>
    <w:uiPriority w:val="0"/>
    <w:rPr>
      <w:rFonts w:ascii="Arial" w:hAnsi="Arial" w:eastAsia="宋体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3519</Words>
  <Characters>4167</Characters>
  <Lines>33</Lines>
  <Paragraphs>9</Paragraphs>
  <TotalTime>1</TotalTime>
  <ScaleCrop>false</ScaleCrop>
  <LinksUpToDate>false</LinksUpToDate>
  <CharactersWithSpaces>4530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2023-01-30T02:01:00Z</dcterms:created>
  <dc:creator>Administrator</dc:creator>
  <cp:lastModifiedBy>Leer</cp:lastModifiedBy>
  <dcterms:modified xsi:type="dcterms:W3CDTF">2023-02-01T02:19:08Z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440BB392D76042FA895FCCCECA7E32AB</vt:lpwstr>
  </property>
</Properties>
</file>